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63B4C" w:rsidRDefault="00FC4AC4">
      <w:pPr>
        <w:spacing w:after="5" w:line="445" w:lineRule="auto"/>
        <w:ind w:left="15" w:right="9694" w:firstLine="0"/>
        <w:jc w:val="left"/>
      </w:pPr>
      <w:r>
        <w:rPr>
          <w:rFonts w:ascii="Calibri" w:eastAsia="Calibri" w:hAnsi="Calibri" w:cs="Calibri"/>
          <w:sz w:val="22"/>
          <w:lang w:val="ru-RU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563B4C" w:rsidRDefault="00FC4AC4">
      <w:pPr>
        <w:spacing w:after="255" w:line="259" w:lineRule="auto"/>
        <w:ind w:left="15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563B4C" w:rsidRDefault="00FC4AC4">
      <w:pPr>
        <w:spacing w:after="139" w:line="259" w:lineRule="auto"/>
        <w:ind w:left="0" w:right="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563B4C" w:rsidRDefault="00FC4AC4">
      <w:pPr>
        <w:spacing w:after="69" w:line="259" w:lineRule="auto"/>
        <w:ind w:left="0" w:right="155" w:firstLine="0"/>
        <w:jc w:val="center"/>
      </w:pPr>
      <w:r>
        <w:rPr>
          <w:b/>
        </w:rPr>
        <w:t xml:space="preserve">ПОВІДОМЛЕННЯ </w:t>
      </w:r>
      <w:r>
        <w:t xml:space="preserve"> </w:t>
      </w:r>
    </w:p>
    <w:p w:rsidR="00563B4C" w:rsidRDefault="00FC4AC4">
      <w:pPr>
        <w:spacing w:after="0" w:line="259" w:lineRule="auto"/>
        <w:ind w:left="0" w:firstLine="0"/>
        <w:jc w:val="center"/>
      </w:pPr>
      <w:r>
        <w:t xml:space="preserve">про несвоєчасне розкриття інформації  </w:t>
      </w:r>
    </w:p>
    <w:p w:rsidR="00563B4C" w:rsidRDefault="00FC4AC4">
      <w:pPr>
        <w:spacing w:after="62" w:line="259" w:lineRule="auto"/>
        <w:ind w:left="726" w:right="0" w:firstLine="0"/>
        <w:jc w:val="left"/>
      </w:pPr>
      <w:r>
        <w:t xml:space="preserve">  </w:t>
      </w:r>
    </w:p>
    <w:p w:rsidR="00563B4C" w:rsidRDefault="00CA24F5">
      <w:pPr>
        <w:spacing w:after="50"/>
        <w:ind w:left="0" w:right="0" w:firstLine="711"/>
      </w:pPr>
      <w:proofErr w:type="spellStart"/>
      <w:r>
        <w:rPr>
          <w:lang w:val="ru-RU"/>
        </w:rPr>
        <w:t>П</w:t>
      </w:r>
      <w:r w:rsidR="00547F49">
        <w:rPr>
          <w:lang w:val="ru-RU"/>
        </w:rPr>
        <w:t>р</w:t>
      </w:r>
      <w:r>
        <w:rPr>
          <w:lang w:val="ru-RU"/>
        </w:rPr>
        <w:t>А</w:t>
      </w:r>
      <w:r w:rsidR="009D6EBC">
        <w:rPr>
          <w:lang w:val="ru-RU"/>
        </w:rPr>
        <w:t>Т</w:t>
      </w:r>
      <w:proofErr w:type="spellEnd"/>
      <w:r w:rsidR="00FC4AC4">
        <w:t>«</w:t>
      </w:r>
      <w:r w:rsidR="00663A9C">
        <w:rPr>
          <w:lang w:val="ru-RU"/>
        </w:rPr>
        <w:t>ХІМНАФТОМАШПРОЕК</w:t>
      </w:r>
      <w:r w:rsidR="00975AA7">
        <w:rPr>
          <w:lang w:val="ru-RU"/>
        </w:rPr>
        <w:t>Т</w:t>
      </w:r>
      <w:r w:rsidR="00FC4AC4">
        <w:t xml:space="preserve">» (код за ЄДРПОУ – </w:t>
      </w:r>
      <w:r w:rsidR="00975AA7">
        <w:rPr>
          <w:lang w:val="ru-RU"/>
        </w:rPr>
        <w:t>00219632</w:t>
      </w:r>
      <w:r w:rsidR="00FC4AC4">
        <w:t>, місцезнаходження: 0</w:t>
      </w:r>
      <w:r w:rsidR="00004FA7">
        <w:rPr>
          <w:lang w:val="ru-RU"/>
        </w:rPr>
        <w:t>1133</w:t>
      </w:r>
      <w:r w:rsidR="00FC4AC4">
        <w:t>,</w:t>
      </w:r>
      <w:r w:rsidR="001F7607">
        <w:rPr>
          <w:lang w:val="ru-RU"/>
        </w:rPr>
        <w:t xml:space="preserve"> м. </w:t>
      </w:r>
      <w:proofErr w:type="spellStart"/>
      <w:r w:rsidR="00EA12E3">
        <w:rPr>
          <w:lang w:val="ru-RU"/>
        </w:rPr>
        <w:t>Київ</w:t>
      </w:r>
      <w:proofErr w:type="spellEnd"/>
      <w:r w:rsidR="00EA12E3">
        <w:rPr>
          <w:lang w:val="ru-RU"/>
        </w:rPr>
        <w:t>, бул.</w:t>
      </w:r>
      <w:r w:rsidR="00A86123">
        <w:rPr>
          <w:lang w:val="ru-RU"/>
        </w:rPr>
        <w:t xml:space="preserve"> </w:t>
      </w:r>
      <w:proofErr w:type="spellStart"/>
      <w:r w:rsidR="00EA12E3">
        <w:rPr>
          <w:lang w:val="ru-RU"/>
        </w:rPr>
        <w:t>Лесі</w:t>
      </w:r>
      <w:proofErr w:type="spellEnd"/>
      <w:r w:rsidR="00EA12E3">
        <w:rPr>
          <w:lang w:val="ru-RU"/>
        </w:rPr>
        <w:t xml:space="preserve"> </w:t>
      </w:r>
      <w:proofErr w:type="spellStart"/>
      <w:r w:rsidR="00EA12E3">
        <w:rPr>
          <w:lang w:val="ru-RU"/>
        </w:rPr>
        <w:t>Українки</w:t>
      </w:r>
      <w:proofErr w:type="spellEnd"/>
      <w:r w:rsidR="00A86123">
        <w:rPr>
          <w:lang w:val="ru-RU"/>
        </w:rPr>
        <w:t xml:space="preserve">, буд. </w:t>
      </w:r>
      <w:r w:rsidR="00F7024A">
        <w:rPr>
          <w:lang w:val="ru-RU"/>
        </w:rPr>
        <w:t>3</w:t>
      </w:r>
      <w:r w:rsidR="00B05A47">
        <w:rPr>
          <w:lang w:val="ru-RU"/>
        </w:rPr>
        <w:t>4</w:t>
      </w:r>
      <w:r w:rsidR="00FC4AC4">
        <w:rPr>
          <w:lang w:val="ru-RU"/>
        </w:rPr>
        <w:t>)</w:t>
      </w:r>
      <w:r w:rsidR="00FC4AC4">
        <w:t xml:space="preserve">, у відповідності до пункту 10 розділу I Положення про розкриття інформації емітентами цінних паперів (далі – Положення), затвердженого Рішенням Національної комісії з  </w:t>
      </w:r>
    </w:p>
    <w:p w:rsidR="00563B4C" w:rsidRDefault="00FC4AC4">
      <w:pPr>
        <w:tabs>
          <w:tab w:val="center" w:pos="1961"/>
          <w:tab w:val="center" w:pos="3206"/>
          <w:tab w:val="center" w:pos="4652"/>
          <w:tab w:val="center" w:pos="6330"/>
          <w:tab w:val="center" w:pos="7539"/>
          <w:tab w:val="right" w:pos="9829"/>
        </w:tabs>
        <w:ind w:left="0" w:right="0" w:firstLine="0"/>
        <w:jc w:val="left"/>
      </w:pPr>
      <w:r>
        <w:t xml:space="preserve">цінних  </w:t>
      </w:r>
      <w:r>
        <w:tab/>
        <w:t xml:space="preserve">паперів  </w:t>
      </w:r>
      <w:r>
        <w:tab/>
        <w:t xml:space="preserve">та  </w:t>
      </w:r>
      <w:r>
        <w:tab/>
        <w:t xml:space="preserve">фондового  </w:t>
      </w:r>
      <w:r>
        <w:tab/>
        <w:t xml:space="preserve">ринку  </w:t>
      </w:r>
      <w:r>
        <w:tab/>
        <w:t xml:space="preserve">від  </w:t>
      </w:r>
      <w:r>
        <w:tab/>
        <w:t xml:space="preserve">03.12.2013   </w:t>
      </w:r>
    </w:p>
    <w:p w:rsidR="00563B4C" w:rsidRDefault="00FC4AC4">
      <w:pPr>
        <w:spacing w:after="67"/>
        <w:ind w:right="0"/>
      </w:pPr>
      <w:r>
        <w:t xml:space="preserve">№ 2826, повідомляє про виявлення </w:t>
      </w:r>
      <w:r w:rsidR="00AF47EE">
        <w:rPr>
          <w:lang w:val="ru-RU"/>
        </w:rPr>
        <w:t>29</w:t>
      </w:r>
      <w:r>
        <w:t>.0</w:t>
      </w:r>
      <w:r w:rsidR="00AF47EE">
        <w:rPr>
          <w:lang w:val="ru-RU"/>
        </w:rPr>
        <w:t>3</w:t>
      </w:r>
      <w:r>
        <w:t>.202</w:t>
      </w:r>
      <w:r w:rsidR="00AF47EE">
        <w:rPr>
          <w:lang w:val="ru-RU"/>
        </w:rPr>
        <w:t>1</w:t>
      </w:r>
      <w:r>
        <w:t xml:space="preserve"> факту несвоєчасного розкриття інформації про </w:t>
      </w:r>
      <w:r w:rsidR="00A41443" w:rsidRPr="00A41443">
        <w:t>проведення загальних зборів акціонерного товариства</w:t>
      </w:r>
      <w:r>
        <w:rPr>
          <w:lang w:val="ru-RU"/>
        </w:rPr>
        <w:t xml:space="preserve"> </w:t>
      </w:r>
      <w:r>
        <w:t xml:space="preserve">(дата вчинення дії </w:t>
      </w:r>
      <w:r w:rsidR="00F752BB">
        <w:rPr>
          <w:lang w:val="ru-RU"/>
        </w:rPr>
        <w:t>24</w:t>
      </w:r>
      <w:r>
        <w:t>.0</w:t>
      </w:r>
      <w:r w:rsidR="00F752BB">
        <w:rPr>
          <w:lang w:val="ru-RU"/>
        </w:rPr>
        <w:t>3</w:t>
      </w:r>
      <w:r>
        <w:t>.202</w:t>
      </w:r>
      <w:r w:rsidR="00F752BB">
        <w:rPr>
          <w:lang w:val="ru-RU"/>
        </w:rPr>
        <w:t>1</w:t>
      </w:r>
      <w:r>
        <w:t xml:space="preserve">).  </w:t>
      </w:r>
    </w:p>
    <w:p w:rsidR="00563B4C" w:rsidRDefault="00FC4AC4" w:rsidP="009C1519">
      <w:pPr>
        <w:tabs>
          <w:tab w:val="center" w:pos="1482"/>
          <w:tab w:val="center" w:pos="3518"/>
          <w:tab w:val="center" w:pos="5304"/>
          <w:tab w:val="center" w:pos="7077"/>
          <w:tab w:val="right" w:pos="982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Несвоєчасне  розкриття  </w:t>
      </w:r>
      <w:r>
        <w:tab/>
        <w:t>вказаної  інформації</w:t>
      </w:r>
      <w:r w:rsidR="00170B2A">
        <w:rPr>
          <w:lang w:val="ru-RU"/>
        </w:rPr>
        <w:t xml:space="preserve"> </w:t>
      </w:r>
      <w:proofErr w:type="spellStart"/>
      <w:r w:rsidR="00F752BB">
        <w:rPr>
          <w:lang w:val="ru-RU"/>
        </w:rPr>
        <w:t>П</w:t>
      </w:r>
      <w:r w:rsidR="00713CEF">
        <w:rPr>
          <w:lang w:val="ru-RU"/>
        </w:rPr>
        <w:t>р</w:t>
      </w:r>
      <w:proofErr w:type="spellEnd"/>
      <w:r>
        <w:t>АТ</w:t>
      </w:r>
      <w:r w:rsidR="00170B2A">
        <w:rPr>
          <w:lang w:val="ru-RU"/>
        </w:rPr>
        <w:t xml:space="preserve"> </w:t>
      </w:r>
      <w:bookmarkStart w:id="0" w:name="_GoBack"/>
      <w:bookmarkEnd w:id="0"/>
      <w:r>
        <w:t>«</w:t>
      </w:r>
      <w:r w:rsidR="004C47F9">
        <w:rPr>
          <w:lang w:val="ru-RU"/>
        </w:rPr>
        <w:t>ХІМНАФТОМАШПРО</w:t>
      </w:r>
      <w:r w:rsidR="00975AA7">
        <w:rPr>
          <w:lang w:val="ru-RU"/>
        </w:rPr>
        <w:t>Е</w:t>
      </w:r>
      <w:r w:rsidR="004C47F9">
        <w:rPr>
          <w:lang w:val="ru-RU"/>
        </w:rPr>
        <w:t>КТ</w:t>
      </w:r>
      <w:r>
        <w:t xml:space="preserve">» сталося з технічних та внутрішніх організаційних причин.  Вказану вище інформацію оприлюднено на веб-сайті </w:t>
      </w:r>
      <w:proofErr w:type="spellStart"/>
      <w:r w:rsidR="004C47F9">
        <w:rPr>
          <w:lang w:val="ru-RU"/>
        </w:rPr>
        <w:t>П</w:t>
      </w:r>
      <w:r w:rsidR="00713CEF">
        <w:rPr>
          <w:lang w:val="ru-RU"/>
        </w:rPr>
        <w:t>р</w:t>
      </w:r>
      <w:proofErr w:type="spellEnd"/>
      <w:r>
        <w:t>АТ «</w:t>
      </w:r>
      <w:r w:rsidR="00D9764E">
        <w:rPr>
          <w:lang w:val="ru-RU"/>
        </w:rPr>
        <w:t>ХІМНАФТОМАШПРОЕКТ</w:t>
      </w:r>
      <w:r>
        <w:t xml:space="preserve">» </w:t>
      </w:r>
      <w:r w:rsidR="009D2BF7">
        <w:rPr>
          <w:lang w:val="ru-RU"/>
        </w:rPr>
        <w:t>29</w:t>
      </w:r>
      <w:r>
        <w:t>.0</w:t>
      </w:r>
      <w:r w:rsidR="009D2BF7">
        <w:rPr>
          <w:lang w:val="ru-RU"/>
        </w:rPr>
        <w:t>3</w:t>
      </w:r>
      <w:r>
        <w:t>.202</w:t>
      </w:r>
      <w:r w:rsidR="009D2BF7">
        <w:rPr>
          <w:lang w:val="ru-RU"/>
        </w:rPr>
        <w:t>1</w:t>
      </w:r>
      <w:r>
        <w:t xml:space="preserve"> та в установленому порядку надано до НКЦПФР.  </w:t>
      </w:r>
    </w:p>
    <w:p w:rsidR="00563B4C" w:rsidRDefault="00FC4AC4">
      <w:pPr>
        <w:spacing w:after="0" w:line="259" w:lineRule="auto"/>
        <w:ind w:left="15" w:right="0" w:firstLine="0"/>
        <w:jc w:val="left"/>
      </w:pPr>
      <w:r>
        <w:t xml:space="preserve">  </w:t>
      </w:r>
    </w:p>
    <w:p w:rsidR="00563B4C" w:rsidRDefault="00FC4AC4">
      <w:pPr>
        <w:spacing w:after="84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3B4C" w:rsidRDefault="00AD054F">
      <w:pPr>
        <w:spacing w:after="0" w:line="259" w:lineRule="auto"/>
        <w:ind w:left="15" w:right="0" w:firstLine="0"/>
        <w:jc w:val="left"/>
      </w:pPr>
      <w:proofErr w:type="spellStart"/>
      <w:r>
        <w:rPr>
          <w:b/>
          <w:lang w:val="ru-RU"/>
        </w:rPr>
        <w:t>Генеральний</w:t>
      </w:r>
      <w:proofErr w:type="spellEnd"/>
      <w:r w:rsidR="00FC4AC4">
        <w:rPr>
          <w:b/>
        </w:rPr>
        <w:t xml:space="preserve"> </w:t>
      </w:r>
      <w:r>
        <w:rPr>
          <w:b/>
          <w:lang w:val="ru-RU"/>
        </w:rPr>
        <w:t>директор</w:t>
      </w:r>
      <w:r w:rsidR="00FC4AC4">
        <w:rPr>
          <w:b/>
        </w:rPr>
        <w:t xml:space="preserve">                                               </w:t>
      </w:r>
      <w:r>
        <w:rPr>
          <w:b/>
          <w:lang w:val="ru-RU"/>
        </w:rPr>
        <w:t>А.Ю.</w:t>
      </w:r>
      <w:r w:rsidR="00FC4AC4">
        <w:rPr>
          <w:b/>
        </w:rPr>
        <w:t xml:space="preserve"> </w:t>
      </w:r>
      <w:proofErr w:type="spellStart"/>
      <w:r>
        <w:rPr>
          <w:b/>
          <w:lang w:val="ru-RU"/>
        </w:rPr>
        <w:t>Хорошевський</w:t>
      </w:r>
      <w:proofErr w:type="spellEnd"/>
    </w:p>
    <w:p w:rsidR="00563B4C" w:rsidRDefault="00FC4AC4">
      <w:pPr>
        <w:spacing w:after="35" w:line="259" w:lineRule="auto"/>
        <w:ind w:left="15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:rsidR="00563B4C" w:rsidRDefault="00FC4AC4">
      <w:pPr>
        <w:spacing w:after="38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43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38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43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39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43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38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0" w:line="259" w:lineRule="auto"/>
        <w:ind w:left="15" w:right="0" w:firstLine="0"/>
        <w:jc w:val="left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38" w:line="259" w:lineRule="auto"/>
        <w:ind w:left="15" w:right="0" w:firstLine="0"/>
      </w:pPr>
      <w:r>
        <w:rPr>
          <w:b/>
          <w:sz w:val="18"/>
        </w:rPr>
        <w:t xml:space="preserve"> </w:t>
      </w:r>
      <w:r>
        <w:t xml:space="preserve"> </w:t>
      </w:r>
    </w:p>
    <w:p w:rsidR="00563B4C" w:rsidRDefault="00FC4AC4">
      <w:pPr>
        <w:spacing w:after="178" w:line="310" w:lineRule="auto"/>
        <w:ind w:left="15" w:right="9694" w:firstLine="0"/>
      </w:pPr>
      <w:r>
        <w:rPr>
          <w:b/>
          <w:sz w:val="18"/>
        </w:rPr>
        <w:t xml:space="preserve"> </w:t>
      </w: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563B4C" w:rsidRDefault="00FC4AC4">
      <w:pPr>
        <w:spacing w:after="190" w:line="259" w:lineRule="auto"/>
        <w:ind w:left="15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p w:rsidR="00563B4C" w:rsidRDefault="00FC4AC4">
      <w:pPr>
        <w:spacing w:after="0" w:line="259" w:lineRule="auto"/>
        <w:ind w:left="15" w:righ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t xml:space="preserve"> </w:t>
      </w:r>
    </w:p>
    <w:sectPr w:rsidR="00563B4C">
      <w:pgSz w:w="11905" w:h="16840"/>
      <w:pgMar w:top="1486" w:right="676" w:bottom="1508" w:left="14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4C"/>
    <w:rsid w:val="00004FA7"/>
    <w:rsid w:val="00170B2A"/>
    <w:rsid w:val="00180F66"/>
    <w:rsid w:val="001E4CC9"/>
    <w:rsid w:val="001F7607"/>
    <w:rsid w:val="004B5803"/>
    <w:rsid w:val="004C47F9"/>
    <w:rsid w:val="00547F49"/>
    <w:rsid w:val="00563B4C"/>
    <w:rsid w:val="00572EFB"/>
    <w:rsid w:val="00620F9C"/>
    <w:rsid w:val="00663A9C"/>
    <w:rsid w:val="00713CEF"/>
    <w:rsid w:val="00975AA7"/>
    <w:rsid w:val="009C1519"/>
    <w:rsid w:val="009D2BF7"/>
    <w:rsid w:val="009D6EBC"/>
    <w:rsid w:val="00A01EAE"/>
    <w:rsid w:val="00A41443"/>
    <w:rsid w:val="00A86123"/>
    <w:rsid w:val="00AD054F"/>
    <w:rsid w:val="00AF47EE"/>
    <w:rsid w:val="00B05A47"/>
    <w:rsid w:val="00CA24F5"/>
    <w:rsid w:val="00D053E3"/>
    <w:rsid w:val="00D67198"/>
    <w:rsid w:val="00D9764E"/>
    <w:rsid w:val="00EA12E3"/>
    <w:rsid w:val="00F7024A"/>
    <w:rsid w:val="00F752BB"/>
    <w:rsid w:val="00FC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152188"/>
  <w15:docId w15:val="{2993C9BB-86D6-FA41-90FD-B44408DF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6" w:lineRule="auto"/>
      <w:ind w:left="10" w:right="171" w:hanging="10"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 Сергій Володимирович</dc:creator>
  <cp:keywords/>
  <cp:lastModifiedBy>Марусенко Владимир</cp:lastModifiedBy>
  <cp:revision>31</cp:revision>
  <dcterms:created xsi:type="dcterms:W3CDTF">2021-03-29T12:16:00Z</dcterms:created>
  <dcterms:modified xsi:type="dcterms:W3CDTF">2021-03-29T12:39:00Z</dcterms:modified>
</cp:coreProperties>
</file>