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A7" w:rsidRPr="001A07FE" w:rsidRDefault="001A07FE" w:rsidP="001A07F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1A07FE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  Додаток 5</w:t>
      </w:r>
      <w:r w:rsidRPr="001A07FE">
        <w:rPr>
          <w:rFonts w:ascii="Times New Roman" w:eastAsia="Times New Roman" w:hAnsi="Times New Roman" w:cs="Times New Roman"/>
          <w:sz w:val="20"/>
          <w:lang w:val="uk-UA"/>
        </w:rPr>
        <w:br/>
        <w:t xml:space="preserve">      до Положення про розкриття інформації емітентами </w:t>
      </w:r>
    </w:p>
    <w:p w:rsidR="006E1BA7" w:rsidRPr="001A07FE" w:rsidRDefault="001A07FE" w:rsidP="001A07F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1A07FE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цінних паперів (пункт 6 глави 1 розділу III)</w:t>
      </w:r>
    </w:p>
    <w:p w:rsidR="006E1BA7" w:rsidRPr="001A07FE" w:rsidRDefault="001A07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A07FE">
        <w:rPr>
          <w:rFonts w:ascii="Times New Roman" w:eastAsia="Times New Roman" w:hAnsi="Times New Roman" w:cs="Times New Roman"/>
          <w:b/>
          <w:sz w:val="24"/>
          <w:lang w:val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8"/>
        <w:gridCol w:w="1571"/>
        <w:gridCol w:w="1723"/>
        <w:gridCol w:w="1913"/>
        <w:gridCol w:w="3178"/>
      </w:tblGrid>
      <w:tr w:rsidR="006E1BA7" w:rsidRPr="001A07FE">
        <w:trPr>
          <w:trHeight w:val="1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№ з/п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Дата прийняття рішення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Гранична сукупна вартість правочинів (тис. грн.)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(у відсотках)</w:t>
            </w:r>
          </w:p>
        </w:tc>
      </w:tr>
      <w:tr w:rsidR="006E1BA7" w:rsidRPr="001A07FE">
        <w:trPr>
          <w:trHeight w:val="34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5</w:t>
            </w:r>
          </w:p>
        </w:tc>
      </w:tr>
      <w:tr w:rsidR="006E1BA7" w:rsidRPr="001A07FE">
        <w:trPr>
          <w:trHeight w:val="34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07.11.2020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3108.000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12434.000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jc w:val="center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24.99598000000</w:t>
            </w:r>
          </w:p>
        </w:tc>
      </w:tr>
      <w:tr w:rsidR="006E1BA7" w:rsidRPr="001A07FE">
        <w:trPr>
          <w:trHeight w:val="342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1BA7" w:rsidRPr="001A07FE" w:rsidRDefault="001A07FE">
            <w:pPr>
              <w:spacing w:after="0" w:line="240" w:lineRule="auto"/>
              <w:rPr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інформації</w:t>
            </w:r>
          </w:p>
        </w:tc>
      </w:tr>
      <w:tr w:rsidR="006E1BA7" w:rsidRPr="00D64E13">
        <w:trPr>
          <w:trHeight w:val="342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Загальними зборами 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акцiонерiв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що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вiдбулись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07.11.2020р.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згiдно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протоколу Загальних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зборiв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№1/2020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вiд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07.11.2020р. прийняте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рiшення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попередньо погодити вчинення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правочинiв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цiнними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паперами,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купiвлю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- продаж майна, корпоративних прав, одержання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кредитiв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/позик (прийняття грошових зобов'язань),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гарантiй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акредитивiв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та/або одержання будь-яких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iнших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банкiвських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продуктiв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/послуг,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iнших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правочинiв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будь-якого характеру, вчинення яких вимагатимуть </w:t>
            </w:r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інтереси 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i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якi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можуть вчинятися Товариством протягом не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бiльше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як одного року, у яких ринкова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вартiсть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майна,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робiт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або послуг, що є предметом такого правочину, перевищує 25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вiдсоткiв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даними остан</w:t>
            </w:r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ньої </w:t>
            </w:r>
            <w:proofErr w:type="spellStart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рiчної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фiнансової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звiтност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i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акцiонерного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товариства,</w:t>
            </w:r>
          </w:p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Надати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Наглядовiй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радi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повноваження без отримання додаткового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рiшення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Загальних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зборiв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акцiонерiв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:</w:t>
            </w:r>
          </w:p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 xml:space="preserve">погоджувати умови попередньо погоджених Загальними зборами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акцiонерiв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значних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правочинiв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усiма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можливими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змiнами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та доповненнями,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якi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будуть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укладатисьТовариством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перiод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 "08"листопада  2020 року по "29"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квiтня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2021 року (включно);</w:t>
            </w:r>
          </w:p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 xml:space="preserve">погоджувати/визначати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перелiк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майна (майнових прав) Товариства, яке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пiдлягає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вiдчуженню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передачi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в заставу/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iпотеку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, придбанню, тощо;</w:t>
            </w:r>
          </w:p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надавати згоду (уповноважувати з правом передоручення) на укладання (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пiдписання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) Генеральним директором, посадовими особами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органiв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управлiння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Товариства попередньо погоджених в цьому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пунктi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Порядку денного Загальними зборами значних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правочинiв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усiма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змiнами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та доповненнями до них. </w:t>
            </w:r>
          </w:p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Сукупна гранична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вартiсть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правочинiв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3108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тис.грн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Вартiсть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товариства за даними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рiч</w:t>
            </w:r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ної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фiнансової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звiтностi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2019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рiк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(останньої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рiчної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звiтностi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) становить 12434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тис.грн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Спiввiдношення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граничної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сукупностi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правочинiв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до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вартостi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активiв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товариства за даними останньої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рiчної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звiтностi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у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вiдсотках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24,99%.</w:t>
            </w:r>
          </w:p>
          <w:p w:rsidR="006E1BA7" w:rsidRPr="001A07FE" w:rsidRDefault="001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Загальна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кiлькiсть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голосуючих </w:t>
            </w:r>
            <w:proofErr w:type="spellStart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акцiй</w:t>
            </w:r>
            <w:proofErr w:type="spellEnd"/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-194 135 499 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кiлькiсть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голосуючих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акцiй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, що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зареєстрованi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для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участi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у загаль</w:t>
            </w:r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них зборах - 193 982 099 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кiлькiсть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голосуючих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акцiй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, що проголосували за прийняття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рiшення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- 193 982 099  , проти</w:t>
            </w:r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прийняття</w:t>
            </w:r>
            <w:r w:rsidR="00D64E13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>рiшення</w:t>
            </w:r>
            <w:proofErr w:type="spellEnd"/>
            <w:r w:rsidRPr="001A07FE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- 0</w:t>
            </w:r>
          </w:p>
          <w:p w:rsidR="006E1BA7" w:rsidRPr="001A07FE" w:rsidRDefault="006E1BA7">
            <w:pPr>
              <w:spacing w:after="0" w:line="240" w:lineRule="auto"/>
              <w:rPr>
                <w:lang w:val="uk-UA"/>
              </w:rPr>
            </w:pPr>
          </w:p>
        </w:tc>
      </w:tr>
    </w:tbl>
    <w:p w:rsidR="006E1BA7" w:rsidRPr="001A07FE" w:rsidRDefault="006E1BA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sectPr w:rsidR="006E1BA7" w:rsidRPr="001A07FE" w:rsidSect="003C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1BA7"/>
    <w:rsid w:val="001A07FE"/>
    <w:rsid w:val="003C182C"/>
    <w:rsid w:val="006E1BA7"/>
    <w:rsid w:val="00D6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Company>DG Win&amp;Soft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2020-11-07T16:11:00Z</cp:lastPrinted>
  <dcterms:created xsi:type="dcterms:W3CDTF">2020-11-07T15:00:00Z</dcterms:created>
  <dcterms:modified xsi:type="dcterms:W3CDTF">2020-11-07T16:11:00Z</dcterms:modified>
</cp:coreProperties>
</file>